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7A88" w:rsidRDefault="008125A4">
      <w:pPr>
        <w:pStyle w:val="2"/>
        <w:widowControl/>
        <w:spacing w:beforeAutospacing="0" w:afterAutospacing="0" w:line="360" w:lineRule="auto"/>
        <w:rPr>
          <w:rFonts w:ascii="Times New Roman" w:hAnsi="Times New Roman" w:hint="default"/>
          <w:color w:val="000000"/>
        </w:rPr>
      </w:pPr>
      <w:r>
        <w:rPr>
          <w:rFonts w:ascii="Times New Roman" w:hAnsi="Times New Roman" w:hint="default"/>
          <w:color w:val="000000"/>
        </w:rPr>
        <w:t>张婷</w:t>
      </w:r>
      <w:r>
        <w:rPr>
          <w:rFonts w:ascii="Times New Roman" w:hAnsi="Times New Roman" w:hint="default"/>
          <w:color w:val="000000"/>
        </w:rPr>
        <w:t>等</w:t>
      </w:r>
      <w:r>
        <w:rPr>
          <w:rFonts w:ascii="Times New Roman" w:hAnsi="Times New Roman" w:hint="default"/>
          <w:color w:val="000000"/>
        </w:rPr>
        <w:t>人：</w:t>
      </w:r>
      <w:r>
        <w:rPr>
          <w:rFonts w:ascii="Times New Roman" w:hAnsi="Times New Roman" w:hint="default"/>
        </w:rPr>
        <w:t>Fe</w:t>
      </w:r>
      <w:r>
        <w:rPr>
          <w:rFonts w:ascii="Times New Roman" w:hAnsi="Times New Roman" w:hint="default"/>
        </w:rPr>
        <w:t>（</w:t>
      </w:r>
      <w:r>
        <w:rPr>
          <w:rFonts w:ascii="Times New Roman" w:hAnsi="Times New Roman" w:hint="default"/>
        </w:rPr>
        <w:t>Ⅲ</w:t>
      </w:r>
      <w:r>
        <w:rPr>
          <w:rFonts w:ascii="Times New Roman" w:hAnsi="Times New Roman" w:hint="default"/>
        </w:rPr>
        <w:t>）作</w:t>
      </w:r>
      <w:r>
        <w:rPr>
          <w:rFonts w:ascii="Times New Roman" w:hAnsi="Times New Roman" w:hint="default"/>
          <w:color w:val="000000"/>
        </w:rPr>
        <w:t>为引发剂制备</w:t>
      </w:r>
      <w:bookmarkStart w:id="0" w:name="OLE_LINK1"/>
      <w:r>
        <w:rPr>
          <w:rFonts w:ascii="Times New Roman" w:hAnsi="Times New Roman" w:hint="default"/>
          <w:color w:val="000000"/>
        </w:rPr>
        <w:t>硬脂酸</w:t>
      </w:r>
      <w:r>
        <w:rPr>
          <w:rFonts w:ascii="Times New Roman" w:hAnsi="Times New Roman" w:hint="default"/>
          <w:color w:val="000000"/>
        </w:rPr>
        <w:t>/</w:t>
      </w:r>
      <w:r>
        <w:rPr>
          <w:rFonts w:ascii="Times New Roman" w:hAnsi="Times New Roman" w:hint="default"/>
          <w:color w:val="000000"/>
        </w:rPr>
        <w:t>聚甲基丙烯酸甲酯复合相变材料</w:t>
      </w:r>
      <w:bookmarkEnd w:id="0"/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【引言】</w:t>
      </w:r>
    </w:p>
    <w:p w:rsidR="00817A88" w:rsidRDefault="008125A4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微胶囊技术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Micmencapsulation</w:t>
      </w:r>
      <w:proofErr w:type="spellEnd"/>
      <w:r>
        <w:rPr>
          <w:rFonts w:ascii="Times New Roman" w:hAnsi="Times New Roman" w:cs="Times New Roman"/>
        </w:rPr>
        <w:t xml:space="preserve"> Technology)</w:t>
      </w:r>
      <w:r>
        <w:rPr>
          <w:rFonts w:ascii="Times New Roman" w:hAnsi="Times New Roman" w:cs="Times New Roman"/>
        </w:rPr>
        <w:t>是一种运用成膜材料把固体或液体包覆成具有核壳结构微粒的技术。所制备的微粒称为微胶囊，它由外壳和内核两部分组成，外壳通常是天然的或合成的高分子材料，内核是微胶囊的核心部分，可以是固体、液体或气体，可以是一种物质也可以是几种物质的混合物。相变材料</w:t>
      </w:r>
      <w:r>
        <w:rPr>
          <w:rFonts w:ascii="Times New Roman" w:hAnsi="Times New Roman" w:cs="Times New Roman"/>
        </w:rPr>
        <w:t xml:space="preserve">(Phase </w:t>
      </w:r>
      <w:proofErr w:type="spellStart"/>
      <w:r>
        <w:rPr>
          <w:rFonts w:ascii="Times New Roman" w:hAnsi="Times New Roman" w:cs="Times New Roman"/>
        </w:rPr>
        <w:t>chatlge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Materials</w:t>
      </w:r>
      <w:r>
        <w:rPr>
          <w:rFonts w:ascii="Times New Roman" w:hAnsi="Times New Roman" w:cs="Times New Roman"/>
        </w:rPr>
        <w:t>，</w:t>
      </w:r>
      <w:proofErr w:type="spellStart"/>
      <w:r>
        <w:rPr>
          <w:rFonts w:ascii="Times New Roman" w:hAnsi="Times New Roman" w:cs="Times New Roman"/>
        </w:rPr>
        <w:t>PcM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在相变过程中能吸收或释放大量的潜热，可广泛应用于热量贮存和温度控制领域。微胶囊相变材料</w:t>
      </w:r>
      <w:r>
        <w:rPr>
          <w:rFonts w:ascii="Times New Roman" w:hAnsi="Times New Roman" w:cs="Times New Roman"/>
        </w:rPr>
        <w:t xml:space="preserve">(Microencapsulated Phase Change </w:t>
      </w:r>
      <w:proofErr w:type="spellStart"/>
      <w:r>
        <w:rPr>
          <w:rFonts w:ascii="Times New Roman" w:hAnsi="Times New Roman" w:cs="Times New Roman"/>
        </w:rPr>
        <w:t>Matcrials</w:t>
      </w:r>
      <w:proofErr w:type="spellEnd"/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MCPCM)</w:t>
      </w:r>
      <w:r>
        <w:rPr>
          <w:rFonts w:ascii="Times New Roman" w:hAnsi="Times New Roman" w:cs="Times New Roman"/>
        </w:rPr>
        <w:t>的研究是将微胶囊技术应用到相变材料中而形成的新的研究领域。</w:t>
      </w:r>
      <w:r>
        <w:rPr>
          <w:rFonts w:ascii="Times New Roman" w:hAnsi="Times New Roman" w:cs="Times New Roman"/>
        </w:rPr>
        <w:t>MCPCM</w:t>
      </w:r>
      <w:r>
        <w:rPr>
          <w:rFonts w:ascii="Times New Roman" w:hAnsi="Times New Roman" w:cs="Times New Roman"/>
        </w:rPr>
        <w:t>从技术上克服了相变物质的应用局限性，提高了相变材料的使用效率，拓宽了相变材料的应用领域。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【成果介绍】</w:t>
      </w:r>
    </w:p>
    <w:p w:rsidR="00817A88" w:rsidRDefault="008125A4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兰州理工大学石油化工学院张婷等人以</w:t>
      </w:r>
      <w:r>
        <w:rPr>
          <w:rFonts w:ascii="Times New Roman" w:hAnsi="Times New Roman" w:cs="Times New Roman"/>
        </w:rPr>
        <w:t>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为光引发剂，研究了甲基丙烯酸甲酯（</w:t>
      </w:r>
      <w:r>
        <w:rPr>
          <w:rFonts w:ascii="Times New Roman" w:hAnsi="Times New Roman" w:cs="Times New Roman"/>
        </w:rPr>
        <w:t>MMA</w:t>
      </w:r>
      <w:r>
        <w:rPr>
          <w:rFonts w:ascii="Times New Roman" w:hAnsi="Times New Roman" w:cs="Times New Roman"/>
        </w:rPr>
        <w:t>）在紫外光下的聚合行为以及硬脂酸（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聚甲</w:t>
      </w:r>
      <w:r>
        <w:rPr>
          <w:rFonts w:ascii="Times New Roman" w:hAnsi="Times New Roman" w:cs="Times New Roman"/>
        </w:rPr>
        <w:t>基丙烯酸甲酯（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）复合相变材料的结构、储热性能、热稳定性和化学稳定性。研究结果表明：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Ⅲ</w:t>
      </w:r>
      <w:r>
        <w:rPr>
          <w:rFonts w:ascii="Times New Roman" w:hAnsi="Times New Roman" w:cs="Times New Roman"/>
        </w:rPr>
        <w:t>）可作为廉价、环保的光引发剂引发</w:t>
      </w:r>
      <w:r>
        <w:rPr>
          <w:rFonts w:ascii="Times New Roman" w:hAnsi="Times New Roman" w:cs="Times New Roman"/>
        </w:rPr>
        <w:t>MMA</w:t>
      </w:r>
      <w:r>
        <w:rPr>
          <w:rFonts w:ascii="Times New Roman" w:hAnsi="Times New Roman" w:cs="Times New Roman"/>
        </w:rPr>
        <w:t>聚合，其在短时间内可生成大量的羟基自由基，且具有非常高的活性，</w:t>
      </w:r>
      <w:r>
        <w:rPr>
          <w:rFonts w:ascii="Times New Roman" w:hAnsi="Times New Roman" w:cs="Times New Roman"/>
        </w:rPr>
        <w:t>0.7 wt. %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Ⅲ</w:t>
      </w:r>
      <w:r>
        <w:rPr>
          <w:rFonts w:ascii="Times New Roman" w:hAnsi="Times New Roman" w:cs="Times New Roman"/>
        </w:rPr>
        <w:t>）在</w:t>
      </w:r>
      <w:r>
        <w:rPr>
          <w:rFonts w:ascii="Times New Roman" w:hAnsi="Times New Roman" w:cs="Times New Roman"/>
        </w:rPr>
        <w:t>30min</w:t>
      </w:r>
      <w:r>
        <w:rPr>
          <w:rFonts w:ascii="Times New Roman" w:hAnsi="Times New Roman" w:cs="Times New Roman"/>
        </w:rPr>
        <w:t>可使</w:t>
      </w:r>
      <w:r>
        <w:rPr>
          <w:rFonts w:ascii="Times New Roman" w:hAnsi="Times New Roman" w:cs="Times New Roman"/>
        </w:rPr>
        <w:t>MMA</w:t>
      </w:r>
      <w:r>
        <w:rPr>
          <w:rFonts w:ascii="Times New Roman" w:hAnsi="Times New Roman" w:cs="Times New Roman"/>
        </w:rPr>
        <w:t>的转化率达到</w:t>
      </w:r>
      <w:r>
        <w:rPr>
          <w:rFonts w:ascii="Times New Roman" w:hAnsi="Times New Roman" w:cs="Times New Roman"/>
        </w:rPr>
        <w:t>90%</w:t>
      </w:r>
      <w:r>
        <w:rPr>
          <w:rFonts w:ascii="Times New Roman" w:hAnsi="Times New Roman" w:cs="Times New Roman"/>
        </w:rPr>
        <w:t>以上。制备的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复合相变储热材料的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含量为</w:t>
      </w:r>
      <w:r>
        <w:rPr>
          <w:rFonts w:ascii="Times New Roman" w:hAnsi="Times New Roman" w:cs="Times New Roman"/>
        </w:rPr>
        <w:t>52.20%</w:t>
      </w:r>
      <w:r>
        <w:rPr>
          <w:rFonts w:ascii="Times New Roman" w:hAnsi="Times New Roman" w:cs="Times New Roman"/>
        </w:rPr>
        <w:t>，其熔融和凝固的相变温度分别为</w:t>
      </w:r>
      <w:r>
        <w:rPr>
          <w:rFonts w:ascii="Times New Roman" w:hAnsi="Times New Roman" w:cs="Times New Roman"/>
        </w:rPr>
        <w:t>55.3℃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48.8℃</w:t>
      </w:r>
      <w:r>
        <w:rPr>
          <w:rFonts w:ascii="Times New Roman" w:hAnsi="Times New Roman" w:cs="Times New Roman"/>
        </w:rPr>
        <w:t>，相变潜热分别为</w:t>
      </w:r>
      <w:r>
        <w:rPr>
          <w:rFonts w:ascii="Times New Roman" w:hAnsi="Times New Roman" w:cs="Times New Roman"/>
        </w:rPr>
        <w:t>102.1 J∙g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102.8 J∙g</w:t>
      </w:r>
      <w:r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>次冻融循环实验表明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具有优异的储热、化学及</w:t>
      </w:r>
      <w:r>
        <w:rPr>
          <w:rFonts w:ascii="Times New Roman" w:hAnsi="Times New Roman" w:cs="Times New Roman"/>
        </w:rPr>
        <w:t>热稳定性，其性能与热引发工艺制备的同类材料相媲美。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ascii="Times New Roman" w:hAnsi="Times New Roman" w:cs="Times New Roman"/>
        </w:rPr>
        <w:t>图文导读</w:t>
      </w:r>
      <w:r>
        <w:rPr>
          <w:rFonts w:ascii="Times New Roman" w:hAnsi="Times New Roman" w:cs="Times New Roman"/>
        </w:rPr>
        <w:t>】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1 </w:t>
      </w:r>
      <w:r>
        <w:rPr>
          <w:rFonts w:ascii="Times New Roman" w:hAnsi="Times New Roman" w:cs="Times New Roman"/>
        </w:rPr>
        <w:t>：不同引发剂下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聚合的转化率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时间曲线。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4304665" cy="31426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：引发剂的消耗对</w:t>
      </w:r>
      <w:r>
        <w:rPr>
          <w:rFonts w:ascii="Times New Roman" w:hAnsi="Times New Roman" w:cs="Times New Roman"/>
        </w:rPr>
        <w:t>MMA</w:t>
      </w:r>
      <w:r>
        <w:rPr>
          <w:rFonts w:ascii="Times New Roman" w:hAnsi="Times New Roman" w:cs="Times New Roman"/>
        </w:rPr>
        <w:t>的转化率的影响。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380865" cy="325691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5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Ⅲ</w:t>
      </w:r>
      <w:r>
        <w:rPr>
          <w:rFonts w:ascii="Times New Roman" w:hAnsi="Times New Roman" w:cs="Times New Roman"/>
        </w:rPr>
        <w:t>）配合物在水溶液产生自由基的机理。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257040" cy="31521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：分别含</w:t>
      </w:r>
      <w:r>
        <w:rPr>
          <w:rFonts w:ascii="Times New Roman" w:hAnsi="Times New Roman" w:cs="Times New Roman"/>
        </w:rPr>
        <w:t>50%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53%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56%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复合相变材料的泄漏实验前（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）和实验后（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）的照片。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7960" cy="312166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复合相变材料的扫描电镜（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）和粒径分布图（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）。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123565" cy="6523990"/>
            <wp:effectExtent l="0" t="0" r="63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52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 SA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胶囊的红外光谱</w:t>
      </w:r>
      <w:r>
        <w:rPr>
          <w:rFonts w:ascii="Times New Roman" w:hAnsi="Times New Roman" w:cs="Times New Roman"/>
        </w:rPr>
        <w:t>图。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80690" cy="225742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SA /PMMA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DSC</w:t>
      </w:r>
      <w:r>
        <w:rPr>
          <w:rFonts w:ascii="Times New Roman" w:hAnsi="Times New Roman" w:cs="Times New Roman"/>
        </w:rPr>
        <w:t>分析。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47365" cy="234315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PMMA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TG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）分析和</w:t>
      </w:r>
      <w:r>
        <w:rPr>
          <w:rFonts w:ascii="Times New Roman" w:hAnsi="Times New Roman" w:cs="Times New Roman"/>
        </w:rPr>
        <w:t xml:space="preserve"> DSC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）分析。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94990" cy="478091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78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>次冻融循环后的扫描电镜图像（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）和红外光谱图（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18790" cy="4466590"/>
            <wp:effectExtent l="0" t="0" r="1016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>次冻融循环前后的</w:t>
      </w:r>
      <w:r>
        <w:rPr>
          <w:rFonts w:ascii="Times New Roman" w:hAnsi="Times New Roman" w:cs="Times New Roman"/>
        </w:rPr>
        <w:t xml:space="preserve"> DSC</w:t>
      </w:r>
      <w:r>
        <w:rPr>
          <w:rFonts w:ascii="Times New Roman" w:hAnsi="Times New Roman" w:cs="Times New Roman"/>
        </w:rPr>
        <w:t>分析。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47365" cy="2333625"/>
            <wp:effectExtent l="0" t="0" r="6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>次冻融循环前后的热重曲线。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123565" cy="2219325"/>
            <wp:effectExtent l="0" t="0" r="63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SA/PMMA</w:t>
      </w:r>
      <w:r>
        <w:rPr>
          <w:rFonts w:ascii="Times New Roman" w:hAnsi="Times New Roman" w:cs="Times New Roman"/>
        </w:rPr>
        <w:t>热循环前后的加热（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）和冷却（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）曲线。</w:t>
      </w:r>
    </w:p>
    <w:p w:rsidR="00817A88" w:rsidRDefault="008125A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56890" cy="476186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057D" w:rsidRPr="00DC057D" w:rsidRDefault="00DC057D" w:rsidP="00DC057D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proofErr w:type="gramStart"/>
      <w:r w:rsidRPr="00DC057D">
        <w:rPr>
          <w:rFonts w:ascii="宋体" w:eastAsia="宋体" w:hAnsi="宋体" w:cs="宋体"/>
          <w:color w:val="333333"/>
          <w:kern w:val="0"/>
          <w:szCs w:val="21"/>
        </w:rPr>
        <w:t>差示扫描</w:t>
      </w:r>
      <w:proofErr w:type="gramEnd"/>
      <w:r w:rsidRPr="00DC057D">
        <w:rPr>
          <w:rFonts w:ascii="宋体" w:eastAsia="宋体" w:hAnsi="宋体" w:cs="宋体"/>
          <w:color w:val="333333"/>
          <w:kern w:val="0"/>
          <w:szCs w:val="21"/>
        </w:rPr>
        <w:t>热量法是最常见的热分析手段，因为它能提供广泛的样品信息。林赛斯高温差示扫描热量仪/差热分析仪（DTA/DSC）具有防冷凝的样品室，其优良设计保证了最高的量热灵敏和最短时间的时间常数。这些特点保证仪器终生具有高精度和高稳定性的基线。对材料的研究，开发和质量控制而言，DSC/DTA PT1600是必不可少的工具。</w:t>
      </w:r>
    </w:p>
    <w:p w:rsidR="00DC057D" w:rsidRPr="00DC057D" w:rsidRDefault="00DC057D" w:rsidP="00DC057D">
      <w:pPr>
        <w:widowControl/>
        <w:shd w:val="clear" w:color="auto" w:fill="FFFFFF"/>
        <w:jc w:val="left"/>
        <w:rPr>
          <w:rFonts w:ascii="microsoft yahei" w:eastAsia="宋体" w:hAnsi="microsoft yahei" w:cs="宋体"/>
          <w:color w:val="333333"/>
          <w:kern w:val="0"/>
          <w:szCs w:val="21"/>
        </w:rPr>
      </w:pPr>
      <w:r w:rsidRPr="00DC057D">
        <w:rPr>
          <w:rFonts w:ascii="宋体" w:eastAsia="宋体" w:hAnsi="宋体" w:cs="宋体"/>
          <w:color w:val="333333"/>
          <w:kern w:val="0"/>
          <w:szCs w:val="21"/>
        </w:rPr>
        <w:t>如您对DSC有兴趣，请联系我公司热线010-62237812。欢迎您的来电。</w:t>
      </w:r>
    </w:p>
    <w:p w:rsidR="00DC057D" w:rsidRDefault="00DC057D">
      <w:pPr>
        <w:spacing w:line="360" w:lineRule="auto"/>
        <w:rPr>
          <w:rFonts w:ascii="Times New Roman" w:hAnsi="Times New Roman" w:cs="Times New Roman" w:hint="eastAsia"/>
        </w:rPr>
      </w:pPr>
      <w:bookmarkStart w:id="1" w:name="_GoBack"/>
      <w:bookmarkEnd w:id="1"/>
    </w:p>
    <w:sectPr w:rsidR="00DC05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A88"/>
    <w:rsid w:val="008125A4"/>
    <w:rsid w:val="00817A88"/>
    <w:rsid w:val="00DC057D"/>
    <w:rsid w:val="15A4173E"/>
    <w:rsid w:val="1F09625B"/>
    <w:rsid w:val="2FDE1F4C"/>
    <w:rsid w:val="44C92B46"/>
    <w:rsid w:val="44E446C8"/>
    <w:rsid w:val="517D1F3E"/>
    <w:rsid w:val="57EA4EE8"/>
    <w:rsid w:val="5F2D382C"/>
    <w:rsid w:val="63A044B9"/>
    <w:rsid w:val="66F154A5"/>
    <w:rsid w:val="6D065CC8"/>
    <w:rsid w:val="71BA216B"/>
    <w:rsid w:val="7E91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E09A976-B922-4EC0-AB5B-78C03725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206</Words>
  <Characters>1180</Characters>
  <Application>Microsoft Office Word</Application>
  <DocSecurity>0</DocSecurity>
  <Lines>9</Lines>
  <Paragraphs>2</Paragraphs>
  <ScaleCrop>false</ScaleCrop>
  <Company>Microsoft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 (2)</dc:creator>
  <cp:lastModifiedBy>HENRY</cp:lastModifiedBy>
  <cp:revision>3</cp:revision>
  <dcterms:created xsi:type="dcterms:W3CDTF">2018-03-24T07:13:00Z</dcterms:created>
  <dcterms:modified xsi:type="dcterms:W3CDTF">2018-05-02T09:08:00Z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